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pStyle w:val="2"/>
              <w:keepNext w:val="0"/>
              <w:keepLines w:val="0"/>
              <w:widowControl/>
              <w:suppressLineNumbers w:val="0"/>
              <w:spacing w:line="432" w:lineRule="auto"/>
              <w:jc w:val="center"/>
              <w:rPr>
                <w:rFonts w:hint="eastAsia" w:ascii="微软雅黑" w:hAnsi="微软雅黑" w:eastAsia="微软雅黑" w:cs="微软雅黑"/>
                <w:b/>
                <w:color w:val="2F2F2E"/>
                <w:sz w:val="33"/>
                <w:szCs w:val="33"/>
              </w:rPr>
            </w:pPr>
            <w:r>
              <w:rPr>
                <w:rFonts w:hint="eastAsia" w:ascii="微软雅黑" w:hAnsi="微软雅黑" w:eastAsia="微软雅黑" w:cs="微软雅黑"/>
                <w:b/>
                <w:color w:val="2F2F2E"/>
                <w:sz w:val="33"/>
                <w:szCs w:val="33"/>
              </w:rPr>
              <w:t>关于印发《陕西高校实验室安全检查实施方案》的通知</w:t>
            </w:r>
          </w:p>
        </w:tc>
      </w:tr>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tbl>
            <w:tblPr>
              <w:tblW w:w="9600" w:type="dxa"/>
              <w:jc w:val="center"/>
              <w:tblCellSpacing w:w="15" w:type="dxa"/>
              <w:tblInd w:w="75" w:type="dxa"/>
              <w:shd w:val="clear" w:color="auto" w:fill="F7F7F7"/>
              <w:tblLayout w:type="fixed"/>
              <w:tblCellMar>
                <w:top w:w="30" w:type="dxa"/>
                <w:left w:w="60" w:type="dxa"/>
                <w:bottom w:w="60" w:type="dxa"/>
                <w:right w:w="60" w:type="dxa"/>
              </w:tblCellMar>
            </w:tblPr>
            <w:tblGrid>
              <w:gridCol w:w="1234"/>
              <w:gridCol w:w="4468"/>
              <w:gridCol w:w="1352"/>
              <w:gridCol w:w="2546"/>
            </w:tblGrid>
            <w:tr>
              <w:tblPrEx>
                <w:shd w:val="clear" w:color="auto" w:fill="F7F7F7"/>
                <w:tblLayout w:type="fixed"/>
                <w:tblCellMar>
                  <w:top w:w="30" w:type="dxa"/>
                  <w:left w:w="60" w:type="dxa"/>
                  <w:bottom w:w="60" w:type="dxa"/>
                  <w:right w:w="60" w:type="dxa"/>
                </w:tblCellMar>
              </w:tblPrEx>
              <w:trPr>
                <w:trHeight w:val="271" w:hRule="atLeast"/>
                <w:tblCellSpacing w:w="15" w:type="dxa"/>
                <w:jc w:val="center"/>
              </w:trPr>
              <w:tc>
                <w:tcPr>
                  <w:tcW w:w="1189" w:type="dxa"/>
                  <w:shd w:val="clear" w:color="auto" w:fill="F7F7F7"/>
                  <w:vAlign w:val="center"/>
                </w:tcPr>
                <w:tbl>
                  <w:tblPr>
                    <w:tblW w:w="960" w:type="dxa"/>
                    <w:jc w:val="right"/>
                    <w:tblCellSpacing w:w="0" w:type="dxa"/>
                    <w:tblInd w:w="109" w:type="dxa"/>
                    <w:shd w:val="clear"/>
                    <w:tblLayout w:type="fixed"/>
                    <w:tblCellMar>
                      <w:top w:w="0" w:type="dxa"/>
                      <w:left w:w="0" w:type="dxa"/>
                      <w:bottom w:w="0" w:type="dxa"/>
                      <w:right w:w="0" w:type="dxa"/>
                    </w:tblCellMar>
                  </w:tblPr>
                  <w:tblGrid>
                    <w:gridCol w:w="480"/>
                    <w:gridCol w:w="480"/>
                  </w:tblGrid>
                  <w:tr>
                    <w:tblPrEx>
                      <w:shd w:val="clear"/>
                      <w:tblLayout w:type="fixed"/>
                      <w:tblCellMar>
                        <w:top w:w="0" w:type="dxa"/>
                        <w:left w:w="0" w:type="dxa"/>
                        <w:bottom w:w="0" w:type="dxa"/>
                        <w:right w:w="0" w:type="dxa"/>
                      </w:tblCellMar>
                    </w:tblPrEx>
                    <w:trPr>
                      <w:tblCellSpacing w:w="0" w:type="dxa"/>
                      <w:jc w:val="right"/>
                    </w:trPr>
                    <w:tc>
                      <w:tcPr>
                        <w:tcW w:w="480" w:type="dxa"/>
                        <w:shd w:val="clear"/>
                        <w:vAlign w:val="center"/>
                      </w:tcPr>
                      <w:p>
                        <w:pPr>
                          <w:keepNext w:val="0"/>
                          <w:keepLines w:val="0"/>
                          <w:widowControl/>
                          <w:suppressLineNumbers w:val="0"/>
                          <w:jc w:val="left"/>
                          <w:rPr>
                            <w:color w:val="4E4E4E"/>
                            <w:sz w:val="18"/>
                            <w:szCs w:val="18"/>
                          </w:rPr>
                        </w:pPr>
                        <w:r>
                          <w:rPr>
                            <w:rFonts w:ascii="宋体" w:hAnsi="宋体" w:eastAsia="宋体" w:cs="宋体"/>
                            <w:b/>
                            <w:color w:val="4E4E4E"/>
                            <w:kern w:val="0"/>
                            <w:sz w:val="18"/>
                            <w:szCs w:val="18"/>
                            <w:bdr w:val="none" w:color="auto" w:sz="0" w:space="0"/>
                            <w:lang w:val="en-US" w:eastAsia="zh-CN" w:bidi="ar"/>
                          </w:rPr>
                          <w:t>标</w:t>
                        </w:r>
                      </w:p>
                    </w:tc>
                    <w:tc>
                      <w:tcPr>
                        <w:tcW w:w="480" w:type="dxa"/>
                        <w:shd w:val="clear"/>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题：</w:t>
                        </w:r>
                      </w:p>
                    </w:tc>
                  </w:tr>
                </w:tbl>
                <w:p>
                  <w:pPr>
                    <w:jc w:val="right"/>
                    <w:rPr>
                      <w:color w:val="4E4E4E"/>
                      <w:sz w:val="18"/>
                      <w:szCs w:val="18"/>
                    </w:rPr>
                  </w:pPr>
                </w:p>
              </w:tc>
              <w:tc>
                <w:tcPr>
                  <w:tcW w:w="8321" w:type="dxa"/>
                  <w:gridSpan w:val="3"/>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关于印发《陕西高校实验室安全检查实施方案》的通知</w:t>
                  </w:r>
                </w:p>
              </w:tc>
            </w:tr>
            <w:tr>
              <w:tblPrEx>
                <w:shd w:val="clear" w:color="auto" w:fill="F7F7F7"/>
                <w:tblLayout w:type="fixed"/>
                <w:tblCellMar>
                  <w:top w:w="30" w:type="dxa"/>
                  <w:left w:w="60" w:type="dxa"/>
                  <w:bottom w:w="60" w:type="dxa"/>
                  <w:right w:w="60" w:type="dxa"/>
                </w:tblCellMar>
              </w:tblPrEx>
              <w:trPr>
                <w:trHeight w:val="271" w:hRule="atLeast"/>
                <w:tblCellSpacing w:w="15" w:type="dxa"/>
                <w:jc w:val="center"/>
              </w:trPr>
              <w:tc>
                <w:tcPr>
                  <w:tcW w:w="1189" w:type="dxa"/>
                  <w:shd w:val="clear" w:color="auto" w:fill="F7F7F7"/>
                  <w:vAlign w:val="center"/>
                </w:tcPr>
                <w:tbl>
                  <w:tblPr>
                    <w:tblW w:w="932" w:type="dxa"/>
                    <w:jc w:val="right"/>
                    <w:tblCellSpacing w:w="0" w:type="dxa"/>
                    <w:tblInd w:w="137" w:type="dxa"/>
                    <w:shd w:val="clear"/>
                    <w:tblLayout w:type="fixed"/>
                    <w:tblCellMar>
                      <w:top w:w="0" w:type="dxa"/>
                      <w:left w:w="0" w:type="dxa"/>
                      <w:bottom w:w="0" w:type="dxa"/>
                      <w:right w:w="0" w:type="dxa"/>
                    </w:tblCellMar>
                  </w:tblPr>
                  <w:tblGrid>
                    <w:gridCol w:w="285"/>
                    <w:gridCol w:w="285"/>
                    <w:gridCol w:w="362"/>
                  </w:tblGrid>
                  <w:tr>
                    <w:tblPrEx>
                      <w:shd w:val="clear"/>
                      <w:tblLayout w:type="fixed"/>
                    </w:tblPrEx>
                    <w:trPr>
                      <w:tblCellSpacing w:w="0" w:type="dxa"/>
                      <w:jc w:val="right"/>
                    </w:trPr>
                    <w:tc>
                      <w:tcPr>
                        <w:tcW w:w="285" w:type="dxa"/>
                        <w:shd w:val="clear"/>
                        <w:vAlign w:val="center"/>
                      </w:tcPr>
                      <w:p>
                        <w:pPr>
                          <w:keepNext w:val="0"/>
                          <w:keepLines w:val="0"/>
                          <w:widowControl/>
                          <w:suppressLineNumbers w:val="0"/>
                          <w:jc w:val="left"/>
                          <w:rPr>
                            <w:color w:val="4E4E4E"/>
                            <w:sz w:val="18"/>
                            <w:szCs w:val="18"/>
                          </w:rPr>
                        </w:pPr>
                        <w:r>
                          <w:rPr>
                            <w:rFonts w:ascii="宋体" w:hAnsi="宋体" w:eastAsia="宋体" w:cs="宋体"/>
                            <w:b/>
                            <w:color w:val="4E4E4E"/>
                            <w:kern w:val="0"/>
                            <w:sz w:val="18"/>
                            <w:szCs w:val="18"/>
                            <w:bdr w:val="none" w:color="auto" w:sz="0" w:space="0"/>
                            <w:lang w:val="en-US" w:eastAsia="zh-CN" w:bidi="ar"/>
                          </w:rPr>
                          <w:t>索</w:t>
                        </w:r>
                      </w:p>
                    </w:tc>
                    <w:tc>
                      <w:tcPr>
                        <w:tcW w:w="285" w:type="dxa"/>
                        <w:shd w:val="clear"/>
                        <w:vAlign w:val="center"/>
                      </w:tcPr>
                      <w:p>
                        <w:pPr>
                          <w:keepNext w:val="0"/>
                          <w:keepLines w:val="0"/>
                          <w:widowControl/>
                          <w:suppressLineNumbers w:val="0"/>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引</w:t>
                        </w:r>
                      </w:p>
                    </w:tc>
                    <w:tc>
                      <w:tcPr>
                        <w:tcW w:w="362" w:type="dxa"/>
                        <w:shd w:val="clear"/>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号：</w:t>
                        </w:r>
                      </w:p>
                    </w:tc>
                  </w:tr>
                </w:tbl>
                <w:p>
                  <w:pPr>
                    <w:jc w:val="right"/>
                    <w:rPr>
                      <w:color w:val="4E4E4E"/>
                      <w:sz w:val="18"/>
                      <w:szCs w:val="18"/>
                    </w:rPr>
                  </w:pPr>
                </w:p>
              </w:tc>
              <w:tc>
                <w:tcPr>
                  <w:tcW w:w="4438"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11610000741297059L/2019-018</w:t>
                  </w:r>
                </w:p>
              </w:tc>
              <w:tc>
                <w:tcPr>
                  <w:tcW w:w="1322" w:type="dxa"/>
                  <w:shd w:val="clear" w:color="auto" w:fill="F7F7F7"/>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发文字号：</w:t>
                  </w:r>
                </w:p>
              </w:tc>
              <w:tc>
                <w:tcPr>
                  <w:tcW w:w="2501"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陕教高办〔2019〕1号</w:t>
                  </w:r>
                </w:p>
              </w:tc>
            </w:tr>
            <w:tr>
              <w:tblPrEx>
                <w:shd w:val="clear" w:color="auto" w:fill="F7F7F7"/>
                <w:tblLayout w:type="fixed"/>
                <w:tblCellMar>
                  <w:top w:w="30" w:type="dxa"/>
                  <w:left w:w="60" w:type="dxa"/>
                  <w:bottom w:w="60" w:type="dxa"/>
                  <w:right w:w="60" w:type="dxa"/>
                </w:tblCellMar>
              </w:tblPrEx>
              <w:trPr>
                <w:trHeight w:val="330" w:hRule="atLeast"/>
                <w:tblCellSpacing w:w="15" w:type="dxa"/>
                <w:jc w:val="center"/>
              </w:trPr>
              <w:tc>
                <w:tcPr>
                  <w:tcW w:w="1189" w:type="dxa"/>
                  <w:shd w:val="clear" w:color="auto" w:fill="F7F7F7"/>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发布机构：</w:t>
                  </w:r>
                </w:p>
              </w:tc>
              <w:tc>
                <w:tcPr>
                  <w:tcW w:w="4438"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中共陕西省委教育工委办公室 陕西省教育厅办公室</w:t>
                  </w:r>
                </w:p>
              </w:tc>
              <w:tc>
                <w:tcPr>
                  <w:tcW w:w="1322" w:type="dxa"/>
                  <w:shd w:val="clear" w:color="auto" w:fill="F7F7F7"/>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公文时效：</w:t>
                  </w:r>
                </w:p>
              </w:tc>
              <w:tc>
                <w:tcPr>
                  <w:tcW w:w="2501"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有效</w:t>
                  </w:r>
                </w:p>
              </w:tc>
            </w:tr>
            <w:tr>
              <w:tblPrEx>
                <w:shd w:val="clear" w:color="auto" w:fill="F7F7F7"/>
                <w:tblLayout w:type="fixed"/>
                <w:tblCellMar>
                  <w:top w:w="30" w:type="dxa"/>
                  <w:left w:w="60" w:type="dxa"/>
                  <w:bottom w:w="60" w:type="dxa"/>
                  <w:right w:w="60" w:type="dxa"/>
                </w:tblCellMar>
              </w:tblPrEx>
              <w:trPr>
                <w:trHeight w:val="271" w:hRule="atLeast"/>
                <w:tblCellSpacing w:w="15" w:type="dxa"/>
                <w:jc w:val="center"/>
              </w:trPr>
              <w:tc>
                <w:tcPr>
                  <w:tcW w:w="1189" w:type="dxa"/>
                  <w:shd w:val="clear" w:color="auto" w:fill="F7F7F7"/>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成文日期：</w:t>
                  </w:r>
                </w:p>
              </w:tc>
              <w:tc>
                <w:tcPr>
                  <w:tcW w:w="4438"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2019-1-21</w:t>
                  </w:r>
                </w:p>
              </w:tc>
              <w:tc>
                <w:tcPr>
                  <w:tcW w:w="1322" w:type="dxa"/>
                  <w:shd w:val="clear" w:color="auto" w:fill="F7F7F7"/>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发布日期：</w:t>
                  </w:r>
                </w:p>
              </w:tc>
              <w:tc>
                <w:tcPr>
                  <w:tcW w:w="2501"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2019-01-24 08:00:30</w:t>
                  </w:r>
                </w:p>
              </w:tc>
            </w:tr>
            <w:tr>
              <w:tblPrEx>
                <w:tblLayout w:type="fixed"/>
                <w:tblCellMar>
                  <w:top w:w="30" w:type="dxa"/>
                  <w:left w:w="60" w:type="dxa"/>
                  <w:bottom w:w="60" w:type="dxa"/>
                  <w:right w:w="60" w:type="dxa"/>
                </w:tblCellMar>
              </w:tblPrEx>
              <w:trPr>
                <w:trHeight w:val="271" w:hRule="atLeast"/>
                <w:tblCellSpacing w:w="15" w:type="dxa"/>
                <w:jc w:val="center"/>
              </w:trPr>
              <w:tc>
                <w:tcPr>
                  <w:tcW w:w="1189" w:type="dxa"/>
                  <w:shd w:val="clear" w:color="auto" w:fill="F7F7F7"/>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类　　别：</w:t>
                  </w:r>
                </w:p>
              </w:tc>
              <w:tc>
                <w:tcPr>
                  <w:tcW w:w="4438"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高等教育</w:t>
                  </w:r>
                </w:p>
              </w:tc>
              <w:tc>
                <w:tcPr>
                  <w:tcW w:w="1322" w:type="dxa"/>
                  <w:shd w:val="clear" w:color="auto" w:fill="F7F7F7"/>
                  <w:vAlign w:val="center"/>
                </w:tcPr>
                <w:p>
                  <w:pPr>
                    <w:keepNext w:val="0"/>
                    <w:keepLines w:val="0"/>
                    <w:widowControl/>
                    <w:suppressLineNumbers w:val="0"/>
                    <w:jc w:val="right"/>
                    <w:rPr>
                      <w:color w:val="4E4E4E"/>
                      <w:sz w:val="18"/>
                      <w:szCs w:val="18"/>
                    </w:rPr>
                  </w:pPr>
                  <w:r>
                    <w:rPr>
                      <w:rFonts w:ascii="宋体" w:hAnsi="宋体" w:eastAsia="宋体" w:cs="宋体"/>
                      <w:b/>
                      <w:color w:val="4E4E4E"/>
                      <w:kern w:val="0"/>
                      <w:sz w:val="18"/>
                      <w:szCs w:val="18"/>
                      <w:bdr w:val="none" w:color="auto" w:sz="0" w:space="0"/>
                      <w:lang w:val="en-US" w:eastAsia="zh-CN" w:bidi="ar"/>
                    </w:rPr>
                    <w:t>浏览次数：</w:t>
                  </w:r>
                </w:p>
              </w:tc>
              <w:tc>
                <w:tcPr>
                  <w:tcW w:w="2501" w:type="dxa"/>
                  <w:shd w:val="clear" w:color="auto" w:fill="F7F7F7"/>
                  <w:vAlign w:val="center"/>
                </w:tcPr>
                <w:p>
                  <w:pPr>
                    <w:keepNext w:val="0"/>
                    <w:keepLines w:val="0"/>
                    <w:widowControl/>
                    <w:suppressLineNumbers w:val="0"/>
                    <w:jc w:val="left"/>
                    <w:rPr>
                      <w:color w:val="4E4E4E"/>
                      <w:sz w:val="18"/>
                      <w:szCs w:val="18"/>
                    </w:rPr>
                  </w:pPr>
                  <w:r>
                    <w:rPr>
                      <w:rFonts w:ascii="宋体" w:hAnsi="宋体" w:eastAsia="宋体" w:cs="宋体"/>
                      <w:color w:val="4E4E4E"/>
                      <w:kern w:val="0"/>
                      <w:sz w:val="18"/>
                      <w:szCs w:val="18"/>
                      <w:bdr w:val="none" w:color="auto" w:sz="0" w:space="0"/>
                      <w:lang w:val="en-US" w:eastAsia="zh-CN" w:bidi="ar"/>
                    </w:rPr>
                    <w:t>704</w:t>
                  </w:r>
                </w:p>
              </w:tc>
            </w:tr>
          </w:tbl>
          <w:p>
            <w:pPr>
              <w:jc w:val="center"/>
              <w:rPr>
                <w:color w:val="4E4E4E"/>
                <w:sz w:val="18"/>
                <w:szCs w:val="18"/>
              </w:rPr>
            </w:pPr>
          </w:p>
        </w:tc>
      </w:tr>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p>
            <w:pPr>
              <w:jc w:val="center"/>
              <w:rPr>
                <w:rFonts w:hint="eastAsia" w:ascii="宋体"/>
                <w:color w:val="4E4E4E"/>
                <w:sz w:val="18"/>
                <w:szCs w:val="18"/>
              </w:rPr>
            </w:pPr>
          </w:p>
        </w:tc>
      </w:tr>
      <w:tr>
        <w:tblPrEx>
          <w:shd w:val="clear"/>
          <w:tblLayout w:type="fixed"/>
          <w:tblCellMar>
            <w:top w:w="0" w:type="dxa"/>
            <w:left w:w="0" w:type="dxa"/>
            <w:bottom w:w="0" w:type="dxa"/>
            <w:right w:w="0" w:type="dxa"/>
          </w:tblCellMar>
        </w:tblPrEx>
        <w:trPr>
          <w:trHeight w:val="75" w:hRule="atLeast"/>
          <w:tblCellSpacing w:w="0" w:type="dxa"/>
          <w:jc w:val="center"/>
        </w:trPr>
        <w:tc>
          <w:tcPr>
            <w:tcW w:w="9750" w:type="dxa"/>
            <w:shd w:val="clear"/>
            <w:vAlign w:val="center"/>
          </w:tcPr>
          <w:p>
            <w:pPr>
              <w:rPr>
                <w:rFonts w:hint="eastAsia" w:ascii="宋体"/>
                <w:color w:val="4E4E4E"/>
                <w:sz w:val="18"/>
                <w:szCs w:val="18"/>
              </w:rPr>
            </w:pP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300" w:type="dxa"/>
              <w:jc w:val="center"/>
              <w:tblCellSpacing w:w="0" w:type="dxa"/>
              <w:tblInd w:w="225" w:type="dxa"/>
              <w:shd w:val="clear"/>
              <w:tblLayout w:type="fixed"/>
              <w:tblCellMar>
                <w:top w:w="0" w:type="dxa"/>
                <w:left w:w="0" w:type="dxa"/>
                <w:bottom w:w="0" w:type="dxa"/>
                <w:right w:w="0" w:type="dxa"/>
              </w:tblCellMar>
            </w:tblPr>
            <w:tblGrid>
              <w:gridCol w:w="9300"/>
            </w:tblGrid>
            <w:tr>
              <w:tblPrEx>
                <w:shd w:val="clear"/>
                <w:tblLayout w:type="fixed"/>
                <w:tblCellMar>
                  <w:top w:w="0" w:type="dxa"/>
                  <w:left w:w="0" w:type="dxa"/>
                  <w:bottom w:w="0" w:type="dxa"/>
                  <w:right w:w="0" w:type="dxa"/>
                </w:tblCellMar>
              </w:tblPrEx>
              <w:trPr>
                <w:tblCellSpacing w:w="0" w:type="dxa"/>
                <w:jc w:val="center"/>
              </w:trPr>
              <w:tc>
                <w:tcPr>
                  <w:tcW w:w="9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各普通高等学校：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为进一步加强高校实验室安全管理，切实加强校园安全稳定，根据国务院安委办高校实验室安全管理工作视频会议精神，现决定开展高校实验室安全检查工作，并将《陕西高校实验室安全检查实施方案》予以印发，请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right"/>
                    <w:rPr>
                      <w:color w:val="4E4E4E"/>
                      <w:sz w:val="22"/>
                      <w:szCs w:val="22"/>
                    </w:rPr>
                  </w:pPr>
                  <w:r>
                    <w:rPr>
                      <w:rFonts w:ascii="宋体" w:hAnsi="宋体" w:eastAsia="宋体" w:cs="宋体"/>
                      <w:color w:val="4E4E4E"/>
                      <w:kern w:val="0"/>
                      <w:sz w:val="22"/>
                      <w:szCs w:val="22"/>
                      <w:bdr w:val="none" w:color="auto" w:sz="0" w:space="0"/>
                      <w:lang w:val="en-US" w:eastAsia="zh-CN" w:bidi="ar"/>
                    </w:rPr>
                    <w:t>      中共陕西省委教育工委办公室</w:t>
                  </w:r>
                  <w:r>
                    <w:rPr>
                      <w:rFonts w:ascii="宋体" w:hAnsi="宋体" w:eastAsia="宋体" w:cs="宋体"/>
                      <w:color w:val="4E4E4E"/>
                      <w:kern w:val="0"/>
                      <w:sz w:val="22"/>
                      <w:szCs w:val="22"/>
                      <w:bdr w:val="none" w:color="auto" w:sz="0" w:space="0"/>
                      <w:lang w:val="en-US" w:eastAsia="zh-CN" w:bidi="ar"/>
                    </w:rPr>
                    <w:br w:type="textWrapping"/>
                  </w:r>
                  <w:r>
                    <w:rPr>
                      <w:rFonts w:ascii="宋体" w:hAnsi="宋体" w:eastAsia="宋体" w:cs="宋体"/>
                      <w:color w:val="4E4E4E"/>
                      <w:kern w:val="0"/>
                      <w:sz w:val="22"/>
                      <w:szCs w:val="22"/>
                      <w:bdr w:val="none" w:color="auto" w:sz="0" w:space="0"/>
                      <w:lang w:val="en-US" w:eastAsia="zh-CN" w:bidi="ar"/>
                    </w:rPr>
                    <w:t>陕西省教育厅办公室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right"/>
                    <w:rPr>
                      <w:color w:val="4E4E4E"/>
                      <w:sz w:val="22"/>
                      <w:szCs w:val="22"/>
                    </w:rPr>
                  </w:pPr>
                  <w:r>
                    <w:rPr>
                      <w:rFonts w:ascii="宋体" w:hAnsi="宋体" w:eastAsia="宋体" w:cs="宋体"/>
                      <w:color w:val="4E4E4E"/>
                      <w:kern w:val="0"/>
                      <w:sz w:val="22"/>
                      <w:szCs w:val="22"/>
                      <w:bdr w:val="none" w:color="auto" w:sz="0" w:space="0"/>
                      <w:lang w:val="en-US" w:eastAsia="zh-CN" w:bidi="ar"/>
                    </w:rPr>
                    <w:t>      2019年1月21日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center"/>
                    <w:rPr>
                      <w:color w:val="4E4E4E"/>
                      <w:sz w:val="22"/>
                      <w:szCs w:val="22"/>
                    </w:rPr>
                  </w:pPr>
                  <w:r>
                    <w:rPr>
                      <w:rFonts w:ascii="宋体" w:hAnsi="宋体" w:eastAsia="宋体" w:cs="宋体"/>
                      <w:color w:val="4E4E4E"/>
                      <w:kern w:val="0"/>
                      <w:sz w:val="22"/>
                      <w:szCs w:val="22"/>
                      <w:bdr w:val="none" w:color="auto" w:sz="0" w:space="0"/>
                      <w:lang w:val="en-US" w:eastAsia="zh-CN" w:bidi="ar"/>
                    </w:rPr>
                    <w:br w:type="textWrapping"/>
                  </w:r>
                  <w:r>
                    <w:rPr>
                      <w:rStyle w:val="4"/>
                      <w:rFonts w:ascii="宋体" w:hAnsi="宋体" w:eastAsia="宋体" w:cs="宋体"/>
                      <w:color w:val="4E4E4E"/>
                      <w:kern w:val="0"/>
                      <w:sz w:val="22"/>
                      <w:szCs w:val="22"/>
                      <w:bdr w:val="none" w:color="auto" w:sz="0" w:space="0"/>
                      <w:lang w:val="en-US" w:eastAsia="zh-CN" w:bidi="ar"/>
                    </w:rPr>
                    <w:t>陕西高校实验室安全检查实施方案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根据国务院安委办高校实验室安全管理工作视频会议精神，按照教育部办公厅《关于立即开展实验室安全检查的紧急通知》和省消防安全委员会办公室《关于切实做好全省校园和科研单位消防安全工作的紧急通知》要求，吸取近期高校实验室安全事故教训，结合我省高校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一、工作目标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认真贯彻党中央、国务院和省委、省政府关于加强安全生产工作的一系列重要决策部署，牢固树立安全发展理念，切实增强红线意识和底线思维，按照“党政同责、一岗双责、齐抓共管、失职追责”和“管行业必须管安全、管业务必须管安全”的要求，落实学校安全管理责任，进一步健全高校实验室安全监管责任体系和长效工作机制，包括对高校实验室危险品管理使用及其他安全隐患开展专项检查和整治，强化安全风险防控意识和能力，有效预防和坚决遏制重特大事故发生，确保师生安全和校园稳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二、工作安排</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2019年1月至6月，分三个阶段进行：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一）动员部署和自查自纠阶段（2019年1月至2019年3月底）。各高校结合实际，制定本校实验室安全自查方案，并进行层层动员部署。根据“谁使用、谁负责，谁主管、谁负责”的原则，逐级分层落实责任制，按要求开展自查自纠，撰写自查自纠工作报告，建立工作台账，及时进行整改，确保治理工作取得实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（二）实地检查阶段（2019年4月至2019年5月）。省委教育工委、省教育厅将联合省消防总队组织安全技术专家开展实地抽查。检查程序包括：听取情况汇报、查阅相关资料、实施检查、检查意见反馈。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三）整改总结阶段（2019年6月）。各高校要针对自查与抽查中发现的问题和隐患进行限期整改，落实严防严管严控措施，坚决防止隐患向事故演变。在此基础上，要对专项整治工作进行认真总结，建立健全实验室安全管理长效机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三、主要任务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一）建立健全高校实验室安全运行机制。各高校要根据学校基础条件和实验室的专业门类特性，不断完善高校实验室全生命周期安全运行机制，构建由学校、二级单位、实验室组成的三级联动安全管理制度和责任体系，建立实验室安全准入制度，对进入实验室的师生必须进行安全技能和操作规范培训，全面培养师生的安全意识，不断提高师生防范自救能力。</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二）全面开展易燃易爆危险化学品安全隐患排查。各高校要按照“全覆盖、零容忍”的总体要求，严格落实实验室消防安全重点部位和用火、用电、用油、用气等危险源管控措施，严防性质相抵触的危险化学品混存，严防超量储存。针对各级各类实验室、实验实训基地、实验研究场所及实验用品仓库等重点场所，油气输送管道、电网线路、水电气设施等重点易燃易爆部位，金属钠、氢气、硫酸、硝酸、氢氧化钠、氢氧化钾等典型危险化学品，组织开展一次无盲区、无死角、全方位、全覆盖的安全隐患排查工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三）集中开展高校实验室消防安全整治。各高校要严格落实消防安全主体责任，建立从学校领导到院系领导，再到实验室管理人员、操作人员的逐级消防安全责任体系，层层签订责任书，层层压实消防安全主体责任。要建立健全实验室消防安全管理制度和操作规程，全面检查实验物品的性质、存储的数量以及可能存在的爆炸起火风险，研究落实风险管控措施。要加强实验室建筑防火、安全出口、疏散通道、消防设施、消防器材等的检查，确保消防设施完好有效，建筑防火符合要求，全面提高实验室消防安全管理水平。要有针对性地制定灭火应急疏散预案，做到“一室一预案”，严防灭火过程中引发新的火灾爆炸事故。要建强高校的微型消防站，落实执勤值班力量，配齐装备器材，定期开展拉动演练，确保发生火灾后能够快速处置、灭早打小。要有针对性地开展消防安全培训，提高广大师生和实验室人员的消防安全意识，掌握消防安全操作规程，熟悉初起事故处置程序，切实提高安全防范意识和应急处置能力。要组织开展消防安全宣传，剖析学校科研机构典型火灾案例，达到警示教育的目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四）深入开展高校实验室安全各环节专项检查。各高校要参照《高等学校实验室安全检查项目表》（见附件1）开展专项检查，检查内容包括责任机制落实情况、资质和基本设施运行情况、管理制度建立和运行情况、安全知识和操作规范培训情况、废弃实验室和危险品处理情况、应急处置制度和应急处置工作规范落实情况等。排查和专项检查中发现的安全隐患和问题，要逐项分级分类制表列出清单、建立台账，明确整改时限、整改责任，落实整改措施，做到责任、措施、资金、时限和预案“五落实”。</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四、工作要求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一）各高校要高度重视，深刻认识抓好实验室安全工作的极端重要性，迅速成立由单位主要负责同志牵头的实验室安全检查领导小组，制定具体实施方案，细化任务分工，实化工作措施。各级领导干部要亲自抓、上一线，带头深入检查，将责任层层落实到岗位、落实到人头、贯通到各个环节，对责任不落实、措施不到位的部门和人员要严肃问责。</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二）各高校要从实验室安全工作的实际出发，按照“全员、全程、全面”的要求，使用案例教学、规范培训、定期考核等多种方式，利用宣传栏、校园网、微信公众号等媒介，大力加强高校实验室安全常识教育。</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（三）各高校要举一反三，进一步加强对校车安全、食品及饮水安全、传染病防控、校园在建工程安全、特种设备安全及校园周边治理等领域的安全隐患全面排查整治。</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五、其他要求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（一）请各高校确定一名部门负责人作为联系人，并将联系人信息（姓名、单位、职务、联系电话、邮箱），于2019年1月23日（星期三）前发送到邮箱sysxh@snnu.edu.cn。</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二）请各高校根据自查情况，认真撰写自查自纠工作报告，填写《××高校实验室安全隐患自查台账》（见附件2），于2019年3月29日（星期五）前，将工作报告和台账电子版（WORD格式）以及纸质件盖章扫描版（PDF格式）发送至邮箱sysxh@snnu.edu.cn。</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陕西师范大学联系人：李召虎、李坤   029—85310376</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高教处联系人：何文来  029—88668917</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稳定办联系人：张  敏  029—88668630</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2"/>
                      <w:szCs w:val="22"/>
                    </w:rPr>
                  </w:pPr>
                  <w:r>
                    <w:rPr>
                      <w:rFonts w:ascii="宋体" w:hAnsi="宋体" w:eastAsia="宋体" w:cs="宋体"/>
                      <w:color w:val="4E4E4E"/>
                      <w:kern w:val="0"/>
                      <w:sz w:val="22"/>
                      <w:szCs w:val="22"/>
                      <w:bdr w:val="none" w:color="auto" w:sz="0" w:space="0"/>
                      <w:lang w:val="en-US" w:eastAsia="zh-CN" w:bidi="ar"/>
                    </w:rPr>
                    <w:t>      科技处联系人：杨  丹  029—88668675</w:t>
                  </w:r>
                </w:p>
              </w:tc>
            </w:tr>
          </w:tbl>
          <w:p>
            <w:pPr>
              <w:wordWrap/>
              <w:spacing w:line="504" w:lineRule="auto"/>
              <w:jc w:val="left"/>
              <w:rPr>
                <w:color w:val="4E4E4E"/>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52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434242"/>
      <w:u w:val="none"/>
    </w:rPr>
  </w:style>
  <w:style w:type="character" w:styleId="6">
    <w:name w:val="Hyperlink"/>
    <w:basedOn w:val="3"/>
    <w:uiPriority w:val="0"/>
    <w:rPr>
      <w:color w:val="43424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2019-02-28T02:46:04Z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